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  <w:t>Вопросы для зачета по учебной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  <w:t>«Судебная бухгалтерия и судебно-бухгалтерская экспертиза»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  <w:t xml:space="preserve">в 8 семестре </w:t>
      </w:r>
      <w:bookmarkStart w:id="0" w:name="_GoBack"/>
      <w:bookmarkEnd w:id="0"/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Задачи судебно-бухгалтерской экспертизы операций и событий с денежными средствами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Объекты исследования и нормативно-справочная информация судебно-бухгалтерской экспертизы операций и событий с денежными средствами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по делам о хищениях денежных средств, совершенных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путем неполного оприходования в кассе полученных из банка на какие-либо хозяйственные цели наличных денежных средств</w:t>
      </w:r>
    </w:p>
    <w:p>
      <w:pPr>
        <w:pStyle w:val="ListParagraph"/>
        <w:numPr>
          <w:ilvl w:val="0"/>
          <w:numId w:val="1"/>
        </w:numPr>
        <w:spacing w:lineRule="atLeast" w:line="242" w:before="0" w:after="0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по делам о хищениях денежных средств, совершенных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путем неполного оприходования в кассе полученной наличными денежными средствами выручки от реализации продукции, товаров, работ, услуг</w:t>
      </w:r>
    </w:p>
    <w:p>
      <w:pPr>
        <w:pStyle w:val="ListParagraph"/>
        <w:numPr>
          <w:ilvl w:val="0"/>
          <w:numId w:val="1"/>
        </w:numPr>
        <w:spacing w:lineRule="atLeast" w:line="242" w:before="0" w:after="0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по делам о хищениях денежных средств, совершенных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путем занижения по учету  сумм поступивших в кассу наличных денежных средств в кассовой книге и отчете кассира, а также в учетных записях по дебету счета 50 «Касса» по сравнению с первичными учетными документами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по делам о хищениях денежных средств, совершенных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путем завышения сумм по расходу в кассовой книге и отчете кассира по сравнению с первичными учетными документами</w:t>
      </w:r>
    </w:p>
    <w:p>
      <w:pPr>
        <w:pStyle w:val="ListParagraph"/>
        <w:numPr>
          <w:ilvl w:val="0"/>
          <w:numId w:val="1"/>
        </w:numPr>
        <w:spacing w:lineRule="atLeast" w:line="242" w:before="0" w:after="0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по делам о хищениях денежных средств, совершенных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путем повторного использования расходных учетных документов, изъятых из архива</w:t>
      </w:r>
    </w:p>
    <w:p>
      <w:pPr>
        <w:pStyle w:val="ListParagraph"/>
        <w:numPr>
          <w:ilvl w:val="0"/>
          <w:numId w:val="1"/>
        </w:numPr>
        <w:spacing w:lineRule="atLeast" w:line="242" w:before="0" w:after="0"/>
        <w:contextualSpacing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по делам о хищениях денежных средств, совершенных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путем создания неучтенных излишков в кассе посредством выполнения бездокументных записей по расходу в регистрах аналитического и синтетического учета по счет 50 «Касса»; путем занижения арифметических итогов по приходу и их завышения по расходу в кассовой книге и отчете кассира; путем</w:t>
      </w:r>
      <w:r>
        <w:rPr>
          <w:rFonts w:cs="Times New Roman" w:ascii="Times New Roman" w:hAnsi="Times New Roman"/>
          <w:sz w:val="28"/>
          <w:szCs w:val="28"/>
        </w:rPr>
        <w:t xml:space="preserve"> занижения суммы остатка денежных средств на конец дня или на начало следующего дня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Методика исследования направлений движения наличных денежных средств, в части определения источников поступления денежных средств и направлений их расходования при производстве судебно-бухгалтерской экспертизы по делам о легализации преступных доходов, финансирования терроризма или финансировании экстремистской деятельности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Методика судебно-бухгалтерской экспертизы при проведении исследования в связи с определением правильности суммы недостачи, выявленной при инвентаризации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по делам о хищении, присвоении или растрате, п</w:t>
      </w:r>
      <w:r>
        <w:rPr>
          <w:rFonts w:cs="Times New Roman" w:ascii="Times New Roman" w:hAnsi="Times New Roman"/>
          <w:sz w:val="28"/>
          <w:szCs w:val="28"/>
        </w:rPr>
        <w:t>ричинении имущественного ущерба путем обмана или злоупотребления доверием, совершенных путем подмены копии платежного поручения, полученного из обслуживающего банка в оправдание списания денежных средств со счета организации, подложной копией платежного поручения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Судебно-бухгалтерская экспертиза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по делам о хищении, присвоении или растрате, п</w:t>
      </w:r>
      <w:r>
        <w:rPr>
          <w:rFonts w:cs="Times New Roman" w:ascii="Times New Roman" w:hAnsi="Times New Roman"/>
          <w:sz w:val="28"/>
          <w:szCs w:val="28"/>
        </w:rPr>
        <w:t>ричинении имущественного ущерба путем обмана или злоупотребления доверием, совершенных путем перечисления денежных средств организации за якобы поставленные товары или выполненные работы, оказанные услуги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Исследование операций с денежными средствами по делам о легализации (отмывании) преступных доходов, совершенных путем  «обезналички»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Исследование операций с денежными средствами по делам о финансировании терроризма и экстремизма совершенных путем  «обналички»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Методика исследования при производстве судебно-бухгалтерской экспертизы в связи установлением суммы легализуемых денежных средств, полученных в результате уклонения от уплаты налогов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М</w:t>
      </w:r>
      <w:r>
        <w:rPr>
          <w:rFonts w:cs="Times New Roman" w:ascii="Times New Roman" w:hAnsi="Times New Roman"/>
          <w:bCs/>
          <w:sz w:val="28"/>
          <w:szCs w:val="28"/>
        </w:rPr>
        <w:t>етодика исследования при производстве судебной бухгалтерской экспертизы, назначаемой в связи с расследованием  нецелевого использования бюджетных средств, выделенных на ликвидацию последствий чрезвычайных ситуаций в агропромышленном комплексе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Методика и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сследования операций с денежными средствами по делам об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уклонении от исполнения обязанностей по репатриации денежных средств в иностранной валюте или валюте Российской Федерации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Задачи судебно-бухгалтерской экспертизы операций и событий с  запасами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Объекты исследования и нормативно-справочная информация при проведении судебно-бухгалтерской экспертизы операций и событий с  запасами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Методика и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сследования </w:t>
      </w:r>
      <w:r>
        <w:rPr>
          <w:rFonts w:cs="Times New Roman" w:ascii="Times New Roman" w:hAnsi="Times New Roman"/>
          <w:sz w:val="28"/>
          <w:szCs w:val="28"/>
        </w:rPr>
        <w:t>операций и событий с  запасами   в части ведения карточек складского учета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Методика и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сследования </w:t>
      </w:r>
      <w:r>
        <w:rPr>
          <w:rFonts w:cs="Times New Roman" w:ascii="Times New Roman" w:hAnsi="Times New Roman"/>
          <w:sz w:val="28"/>
          <w:szCs w:val="28"/>
        </w:rPr>
        <w:t>операций и событий с  запасами   в части соблюдения требований по текущему контролю правильности ведения складского учета и составлению отчетов материально ответственных лиц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Методика экспертного исследования при установлении суммы неучтенных излишков </w:t>
      </w:r>
      <w:r>
        <w:rPr>
          <w:rFonts w:cs="Times New Roman" w:ascii="Times New Roman" w:hAnsi="Times New Roman"/>
          <w:sz w:val="28"/>
          <w:szCs w:val="28"/>
          <w:lang w:val="ru-RU"/>
        </w:rPr>
        <w:t>запасов</w:t>
      </w:r>
      <w:r>
        <w:rPr>
          <w:rFonts w:cs="Times New Roman" w:ascii="Times New Roman" w:hAnsi="Times New Roman"/>
          <w:sz w:val="28"/>
          <w:szCs w:val="28"/>
        </w:rPr>
        <w:t>, созданных путем занижения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их</w:t>
      </w:r>
      <w:r>
        <w:rPr>
          <w:rFonts w:cs="Times New Roman" w:ascii="Times New Roman" w:hAnsi="Times New Roman"/>
          <w:sz w:val="28"/>
          <w:szCs w:val="28"/>
        </w:rPr>
        <w:t xml:space="preserve"> количества  при переносе остатков из материального отчета за истекший период в материальный отчет за текущий период; путем занижения по приходу количества </w:t>
      </w:r>
      <w:r>
        <w:rPr>
          <w:rFonts w:cs="Times New Roman" w:ascii="Times New Roman" w:hAnsi="Times New Roman"/>
          <w:sz w:val="28"/>
          <w:szCs w:val="28"/>
          <w:lang w:val="ru-RU"/>
        </w:rPr>
        <w:t>запасов</w:t>
      </w:r>
      <w:r>
        <w:rPr>
          <w:rFonts w:cs="Times New Roman" w:ascii="Times New Roman" w:hAnsi="Times New Roman"/>
          <w:sz w:val="28"/>
          <w:szCs w:val="28"/>
        </w:rPr>
        <w:t xml:space="preserve"> в карточках складского учета и материальных отчетах по сравнению с первичными учетными документами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Методика экспертного исследования при установлении суммы неучтенных излишков МПЗ, созданных путем неоприходования в карточках складского учета и материальных отчетах фактически поступивших на склад МПЗ; путем занижения итоговых данных по приходу МПЗ в карточках складского учета и материальных отчетах посредством арифметических искажений при подсчете итогов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Методика экспертного исследования при установлении суммы неучтенных излишков </w:t>
      </w:r>
      <w:r>
        <w:rPr>
          <w:rFonts w:cs="Times New Roman" w:ascii="Times New Roman" w:hAnsi="Times New Roman"/>
          <w:sz w:val="28"/>
          <w:szCs w:val="28"/>
          <w:lang w:val="ru-RU"/>
        </w:rPr>
        <w:t>запасов</w:t>
      </w:r>
      <w:r>
        <w:rPr>
          <w:rFonts w:cs="Times New Roman" w:ascii="Times New Roman" w:hAnsi="Times New Roman"/>
          <w:sz w:val="28"/>
          <w:szCs w:val="28"/>
        </w:rPr>
        <w:t xml:space="preserve">, созданных путем завышения по расходу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их </w:t>
      </w:r>
      <w:r>
        <w:rPr>
          <w:rFonts w:cs="Times New Roman" w:ascii="Times New Roman" w:hAnsi="Times New Roman"/>
          <w:sz w:val="28"/>
          <w:szCs w:val="28"/>
        </w:rPr>
        <w:t>количества  в карточках складского учета и материальных отчетах по сравнению с первичными учетными документами; путем бездокументных записей по расходу в карточках складского учета и материальных отчетах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Методика экспертного исследования при установлении суммы неучтенных излишков </w:t>
      </w:r>
      <w:r>
        <w:rPr>
          <w:rFonts w:cs="Times New Roman" w:ascii="Times New Roman" w:hAnsi="Times New Roman"/>
          <w:sz w:val="28"/>
          <w:szCs w:val="28"/>
          <w:lang w:val="ru-RU"/>
        </w:rPr>
        <w:t>запасов</w:t>
      </w:r>
      <w:r>
        <w:rPr>
          <w:rFonts w:cs="Times New Roman" w:ascii="Times New Roman" w:hAnsi="Times New Roman"/>
          <w:sz w:val="28"/>
          <w:szCs w:val="28"/>
        </w:rPr>
        <w:t>, созданных путем завышения итоговых данных по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их</w:t>
      </w:r>
      <w:r>
        <w:rPr>
          <w:rFonts w:cs="Times New Roman" w:ascii="Times New Roman" w:hAnsi="Times New Roman"/>
          <w:sz w:val="28"/>
          <w:szCs w:val="28"/>
        </w:rPr>
        <w:t xml:space="preserve"> расходу  в карточках складского учета и материальных отчетах посредством арифметических искажений при подсчете итогов; путем пересортицы в карточках складского учета по приходно-расходным операциям с </w:t>
      </w:r>
      <w:r>
        <w:rPr>
          <w:rFonts w:cs="Times New Roman" w:ascii="Times New Roman" w:hAnsi="Times New Roman"/>
          <w:sz w:val="28"/>
          <w:szCs w:val="28"/>
          <w:lang w:val="ru-RU"/>
        </w:rPr>
        <w:t>запасами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宋体" w:cs="Arial" w:eastAsiaTheme="minorEastAsia"/>
      <w:color w:val="auto"/>
      <w:kern w:val="0"/>
      <w:sz w:val="20"/>
      <w:szCs w:val="20"/>
      <w:lang w:val="ru-RU" w:eastAsia="ru-RU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LibreOffice/7.5.9.2$Linux_X86_64 LibreOffice_project/50$Build-2</Application>
  <AppVersion>15.0000</AppVersion>
  <Pages>3</Pages>
  <Words>711</Words>
  <Characters>5102</Characters>
  <CharactersWithSpaces>5807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2019-04-26T21:44:00Z</dcterms:created>
  <dc:creator>Владимир</dc:creator>
  <dc:description/>
  <dc:language>ru-RU</dc:language>
  <cp:lastModifiedBy/>
  <dcterms:modified xsi:type="dcterms:W3CDTF">2024-01-31T16:29:47Z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